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C" w:rsidRPr="008E5432" w:rsidRDefault="008E5432" w:rsidP="008E5432">
      <w:pPr>
        <w:spacing w:after="0"/>
        <w:jc w:val="center"/>
        <w:rPr>
          <w:b/>
          <w:sz w:val="144"/>
          <w:szCs w:val="144"/>
        </w:rPr>
      </w:pPr>
      <w:r w:rsidRPr="008E5432">
        <w:rPr>
          <w:b/>
          <w:sz w:val="144"/>
          <w:szCs w:val="144"/>
        </w:rPr>
        <w:t>Fagplan i samfunnsfag</w:t>
      </w:r>
    </w:p>
    <w:p w:rsidR="008E5432" w:rsidRPr="008E5432" w:rsidRDefault="008E5432" w:rsidP="008E5432">
      <w:pPr>
        <w:spacing w:after="0"/>
        <w:jc w:val="center"/>
        <w:rPr>
          <w:b/>
          <w:sz w:val="44"/>
          <w:szCs w:val="44"/>
        </w:rPr>
      </w:pPr>
      <w:r w:rsidRPr="008E5432">
        <w:rPr>
          <w:b/>
          <w:sz w:val="44"/>
          <w:szCs w:val="44"/>
        </w:rPr>
        <w:t>Grünerløkka skole</w:t>
      </w:r>
    </w:p>
    <w:p w:rsidR="008E5432" w:rsidRDefault="008E5432" w:rsidP="008E5432">
      <w:pPr>
        <w:spacing w:after="0"/>
        <w:jc w:val="center"/>
      </w:pPr>
      <w:r>
        <w:t>Revidert våren 2015</w:t>
      </w:r>
    </w:p>
    <w:p w:rsidR="008E5432" w:rsidRDefault="008E5432" w:rsidP="008E5432">
      <w:pPr>
        <w:spacing w:after="0"/>
        <w:jc w:val="center"/>
      </w:pPr>
    </w:p>
    <w:p w:rsidR="008E5432" w:rsidRDefault="008E5432" w:rsidP="008E5432">
      <w:pPr>
        <w:spacing w:after="0"/>
        <w:jc w:val="center"/>
      </w:pPr>
    </w:p>
    <w:p w:rsidR="008E5432" w:rsidRDefault="008E5432" w:rsidP="008E5432">
      <w:pPr>
        <w:spacing w:after="0"/>
        <w:jc w:val="center"/>
      </w:pPr>
      <w:r>
        <w:rPr>
          <w:noProof/>
          <w:lang w:eastAsia="nb-NO"/>
        </w:rPr>
        <w:drawing>
          <wp:inline distT="0" distB="0" distL="0" distR="0">
            <wp:extent cx="3571875" cy="2600325"/>
            <wp:effectExtent l="0" t="0" r="9525" b="9525"/>
            <wp:docPr id="1" name="Bilde 1" descr="H:\Dokumenter\My Pictures\1_samfunnsf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1_samfunnsf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32" w:rsidRDefault="008E5432" w:rsidP="008E5432">
      <w:pPr>
        <w:spacing w:after="0"/>
      </w:pPr>
    </w:p>
    <w:p w:rsidR="008E5432" w:rsidRDefault="008E5432" w:rsidP="008E5432">
      <w:pPr>
        <w:spacing w:after="0"/>
      </w:pPr>
    </w:p>
    <w:p w:rsidR="008E5432" w:rsidRDefault="008E5432" w:rsidP="008E5432">
      <w:pPr>
        <w:spacing w:after="0"/>
      </w:pPr>
    </w:p>
    <w:p w:rsidR="008E5432" w:rsidRDefault="008E5432" w:rsidP="008E5432">
      <w:pPr>
        <w:spacing w:after="0"/>
      </w:pPr>
    </w:p>
    <w:p w:rsidR="008E5432" w:rsidRPr="008E5432" w:rsidRDefault="008E5432" w:rsidP="008E5432">
      <w:pPr>
        <w:spacing w:after="0"/>
        <w:rPr>
          <w:b/>
          <w:sz w:val="44"/>
        </w:rPr>
      </w:pPr>
      <w:proofErr w:type="spellStart"/>
      <w:r w:rsidRPr="008E5432">
        <w:rPr>
          <w:b/>
          <w:sz w:val="44"/>
        </w:rPr>
        <w:lastRenderedPageBreak/>
        <w:t>Føremål</w:t>
      </w:r>
      <w:proofErr w:type="spellEnd"/>
    </w:p>
    <w:p w:rsidR="008E5432" w:rsidRDefault="008E5432" w:rsidP="008E5432">
      <w:pPr>
        <w:spacing w:after="0"/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demokratisk samfunn er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verdiar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medverknad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likeverd viktige prinsipp. Sentralt i arbeidet med samfunnsfaget står forståing av og oppslutning 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grunnleggjande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menneskerettar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demokratiske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verdiar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likestilling. Faget skal stimulere til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gje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erfaring med aktivt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medborgarskap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demokratisk deltaking.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Menneska er prega av den kulturen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veks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 i, og dette påverkar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haldningar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Ei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djupare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forståing av forholdet mellom det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personlege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livet og samfunnslivet kan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medverke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erkjenne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mangfaldet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samfunnsformer og levevis. I samfunnsfaget står forståing av likestilling og likeverd sentralt. I den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samanhengen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inngår kunnskap om kultur i Sápmi/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Sábme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Saepmie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situasjonen til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urfolk. Kunnskap om andre urfolk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minoritetar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verda er òg viktig.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menneske inngår vi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historisk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ei lang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rekkje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historiske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hendingar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påverka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utviklinga av samfunnet. I samfunnsfaget skal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lære om det kulturelle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mangfaldet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verda i fortid og samtid, og lære seg å reflektere omkring det tradisjonelle og det moderne. Såleis skal faget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medverke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medviten identitetsdanning og trygg forankring i eige samfunn og eigen kultur for alle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elevar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reflekterande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individ og fellesskap kan menneska bidra til å forme seg sjølve, og både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påverke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bli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påverka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omgjevnadene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sine. Som moralsk individ er mennesket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ansvarleg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handlingane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sine, også for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andre har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teke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initiativ til. Gjennom samfunnsfaget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utviklar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medvit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påverke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lokale og globale fellesskapet og sin eigen livssituasjon.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Kunnskap om samfunn og politikk har verdi i seg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sjølv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er samtidig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føresetnad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demokratisk deltaking. Kunnskap om det politiske systemet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Noreg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i det internasjonale samfunnet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gjer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medviten om at politikk er prega av samarbeid, konflikt, påverknad og bruk av makt i ulike former. Gjennom samfunnsfaget får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verktøy til å analysere og drøfte historiske og aktuelle samfunnsspørsmål, og til å identifisere og diskutere ulike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maktrelasjonar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å oppnå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berekraftig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utvikling er det nødvendig å forstå forholdet mellom naturen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menneskeskapte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omgjevnadene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Samfunnsfaget skal stimulere til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auka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medvit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omkring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mellom produksjon og forbruk,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konsekvensar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ressursbruk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livsutfalding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ha på natur, klima og ei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berekraftig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utvikling. Gjennom arbeid med faget vil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lettare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forstå verdien av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utfordringar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knytte til teknologi og entreprenørskap,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utvikle kunnskap om arbeidsliv og global, nasjonal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personleg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økonomi. 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Samfunnsfaget er delt inn i ulike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utgjer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heilskap. Faget skal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fremje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evna til å diskutere, resonnere og løyse problem i samfunnet ved 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påverke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lysta og evna til 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søkje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kunnskap om samfunn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kulturar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Gjennom kunnskap om samfunnet omkring seg blir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undrande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nysgjerrige og stimulerte til refleksjon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skapande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arbeid. Slik kan den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einskilde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forstå seg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sjølv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andre betre,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meistre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påverke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verda vi lever i, og bli motivert til ny innsikt og livslang læring.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b/>
          <w:sz w:val="44"/>
          <w:szCs w:val="24"/>
          <w:lang w:eastAsia="nb-NO"/>
        </w:rPr>
        <w:lastRenderedPageBreak/>
        <w:t>Hovudområder</w:t>
      </w:r>
      <w:proofErr w:type="spellEnd"/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15"/>
          <w:lang w:eastAsia="nb-NO"/>
        </w:rPr>
        <w:t>S</w:t>
      </w:r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amfunnsfaget er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eit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gjennomgåande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fag i grunnopplæringa og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eit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fellesfag for alle utdanningsprogramma i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vidaregåande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opplæring. Opplæringa skal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difor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gjerast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mest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mogleg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relevant for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elevane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ved å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tilpassast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til </w:t>
      </w:r>
      <w:proofErr w:type="spellStart"/>
      <w:r w:rsidRPr="008E5432">
        <w:rPr>
          <w:rFonts w:ascii="Times New Roman" w:eastAsia="Times New Roman" w:hAnsi="Times New Roman" w:cs="Times New Roman"/>
          <w:szCs w:val="15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Cs w:val="15"/>
          <w:lang w:eastAsia="nb-NO"/>
        </w:rPr>
        <w:t xml:space="preserve"> ulike </w:t>
      </w: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utdanningsprogramma. 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Faget er strukturert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tilhøyrande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kompetansemål. Alle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utfyller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kvarandre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sjåast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Utforskaren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grip over og inn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andre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faget, både i grunnskolen og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vidaregåande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opplæring.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grunnskolen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samfunnsfag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utforskaren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samfunnskunnskap, geografi og historie. 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vidaregåande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opplæring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faget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utforskaren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individ, samfunn og kultur, arbeids- og næringsliv, politikk og demokrati og internasjonale forhold. Geografi og historie blir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vidareførte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fellesfag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studieførebuande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utdanningsprogramma. Samfunnskunnskap blir integrert i kvart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grunnskolen har samfunnsfag kompetansemål etter 4., 7. og 10.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årssteget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vidaregåande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opplæring har samfunnsfag kompetansemål etter Vg1 i utdanningsprogram for studiespesialisering, programområde for realfag og programområde for språk, samfunnsfag og økonomi. 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utdanningsprogram for studiespesialisering, programområde for formgjevingsfag har samfunnsfag kompetansemål etter Vg2. 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I yrkesfaglege utdanningsprogram og i utdanningsprogram for idrettsfag og musikk, dans og drama har samfunnsfag kompetansemål etter Vg2.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Oversikt</w:t>
      </w:r>
      <w:proofErr w:type="spellEnd"/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over </w:t>
      </w:r>
      <w:proofErr w:type="spellStart"/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hovudområda</w:t>
      </w:r>
      <w:proofErr w:type="spellEnd"/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:</w:t>
      </w:r>
    </w:p>
    <w:p w:rsid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44834" w:rsidTr="00844834"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Årssteg</w:t>
            </w:r>
            <w:proofErr w:type="spellEnd"/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Hovudområde</w:t>
            </w:r>
            <w:proofErr w:type="spellEnd"/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8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8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4834" w:rsidTr="00844834"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 – 10.</w:t>
            </w:r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Utforskaren</w:t>
            </w:r>
            <w:proofErr w:type="spellEnd"/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Historie</w:t>
            </w:r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Geografi</w:t>
            </w:r>
          </w:p>
        </w:tc>
        <w:tc>
          <w:tcPr>
            <w:tcW w:w="2358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Samfunnskunnskap</w:t>
            </w:r>
          </w:p>
        </w:tc>
        <w:tc>
          <w:tcPr>
            <w:tcW w:w="2358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4834" w:rsidTr="00844834"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Vg1 / Vg2</w:t>
            </w:r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Utforskaren</w:t>
            </w:r>
            <w:proofErr w:type="spellEnd"/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Individ, Samfunn og kultur</w:t>
            </w:r>
          </w:p>
        </w:tc>
        <w:tc>
          <w:tcPr>
            <w:tcW w:w="2357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Arbeids- og næringsliv</w:t>
            </w:r>
          </w:p>
        </w:tc>
        <w:tc>
          <w:tcPr>
            <w:tcW w:w="2358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Politikk og demokrati</w:t>
            </w:r>
          </w:p>
        </w:tc>
        <w:tc>
          <w:tcPr>
            <w:tcW w:w="2358" w:type="dxa"/>
          </w:tcPr>
          <w:p w:rsidR="00844834" w:rsidRDefault="00844834" w:rsidP="008E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Internsjonale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forhold</w:t>
            </w:r>
          </w:p>
        </w:tc>
      </w:tr>
    </w:tbl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Utforskaren</w:t>
      </w:r>
      <w:proofErr w:type="spellEnd"/>
    </w:p>
    <w:p w:rsidR="00844834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grip over i og inn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andre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faget,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difor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arbeide med kompetansemåla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utforskaren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samtidig med at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arbeider med mål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andre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byggjer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forståing gjennom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nysgjerrigheit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undring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skapande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aktivitetar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Å stimulere til kritisk vurdering av etablert og ny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kunnskap ved å bruke kjelder og kjeldekritikk er sentralt.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Utforskaren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formidling, diskusjon og utvikling av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kunnskap og kompetanse.</w:t>
      </w: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Historie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dreier seg om å utvikle historisk oversikt og innsikt, og 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undersøkje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drøfte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menneske og samfunn har forandra seg gjennom tidene. Historie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menneske skaper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bilete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formar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 eiga forståing av fortida,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dette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innverkar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notida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Å stimulere til kritisk og reflektert deltaking i samfunnet er sentrale element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Geografi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lokalisering og utbreiing av naturlege og menneskeskapte forhold på jorda, og skal stimulere til forståing av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kvifor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påverkar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kvarandre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Kartlegging og diskusjon av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endringsprosessar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står sentralt,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refleksjon omkring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berekraftig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utvikling. Geografi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om å bruke kart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gjere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greie for og forklare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likskapar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skilnader mellom land og by, mellom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nasjonar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mellom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regionar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Samfunnskunnskap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emna sosialisering, politikk, økonomi og kultur,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samkjensle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motsetnader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mellom menneske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samtidsperspektiv.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Samspelet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mellom kulturelle normer og samfunnsstyring på den eine sida og individuelle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val på den andre er sentralt i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Verdien av likestilling,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medborgarskap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utvikling av demokratiske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viktige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dimensjonar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samfunnskunnskap.</w:t>
      </w:r>
    </w:p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Individ, samfunn og kultur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sosialisering,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personleg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økonomi,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fleirkulturelle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samfunn, religionen si rolle i kulturen, samlivsformer og kriminalitet. Det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om likestilling, urfolk, etniske og nasjonale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minoritetar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framandfrykt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rasisme kan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motarbeidast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kven og kva som påverkar ungdom i dag. </w:t>
      </w:r>
    </w:p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Arbeids- og næringsliv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næringar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bedrifter, etablering,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yrkesval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arbeidsløyse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Det dreier seg òg 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arbeidslivet og lønnsdanning, og om arbeidslivet i dag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prinsippa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verdiane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byggjer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på.</w:t>
      </w:r>
    </w:p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Politikk og demokrati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politiske systemet på alle nivå og velferdsstaten. Det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politiske partia og kva som kan truge demokratiet. I dette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det òg lagt vekt på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mellom styreform, rettsstat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menneskerettar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Pr="008E5432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Pr="008E5432" w:rsidRDefault="008E5432" w:rsidP="008E54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E54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Internasjonale forhold</w:t>
      </w:r>
    </w:p>
    <w:p w:rsid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internasjonalt samarbeid, terrorisme,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konfliktar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konfliktløysing og fredsarbeid. Det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om globalisering, fordeling av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ressursar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berekraftig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utvikling og </w:t>
      </w:r>
      <w:proofErr w:type="spellStart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>Noregs</w:t>
      </w:r>
      <w:proofErr w:type="spellEnd"/>
      <w:r w:rsidRPr="008E54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rolle som internasjonal aktør.</w:t>
      </w:r>
    </w:p>
    <w:p w:rsid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P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nb-NO"/>
        </w:rPr>
      </w:pPr>
      <w:proofErr w:type="spellStart"/>
      <w:r w:rsidRPr="00844834">
        <w:rPr>
          <w:rFonts w:ascii="Times New Roman" w:eastAsia="Times New Roman" w:hAnsi="Times New Roman" w:cs="Times New Roman"/>
          <w:b/>
          <w:sz w:val="44"/>
          <w:szCs w:val="24"/>
          <w:lang w:eastAsia="nb-NO"/>
        </w:rPr>
        <w:t>Grunnleggjande</w:t>
      </w:r>
      <w:proofErr w:type="spellEnd"/>
      <w:r w:rsidRPr="00844834">
        <w:rPr>
          <w:rFonts w:ascii="Times New Roman" w:eastAsia="Times New Roman" w:hAnsi="Times New Roman" w:cs="Times New Roman"/>
          <w:b/>
          <w:sz w:val="4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b/>
          <w:sz w:val="44"/>
          <w:szCs w:val="24"/>
          <w:lang w:eastAsia="nb-NO"/>
        </w:rPr>
        <w:t>ferdigheiter</w:t>
      </w:r>
      <w:proofErr w:type="spellEnd"/>
    </w:p>
    <w:p w:rsidR="00844834" w:rsidRDefault="00844834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Grunnleggjande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integrerte i kompetansemåla, der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 av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medverkar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utvikle kompetansen i faget. I samfunnsfag forstår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grunnleggjande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slik: </w:t>
      </w:r>
    </w:p>
    <w:p w:rsidR="00844834" w:rsidRP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Munnlege </w:t>
      </w:r>
      <w:proofErr w:type="spellStart"/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kunne forstå, beskrive,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samanlikne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analysere kjelder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problemstillingar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å bruke fakta,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teoriar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definisjonar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fagomgrep i innlegg,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presentasjonar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meiningsytringar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Munnlege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om å lytte til, vurdere,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respons på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vidareutvikle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innspel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andre. Utvikling av munnlege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går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lytte til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uttrykkje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meiningar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enkle munnlege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ytre seg med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grunngjevne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synsmåtar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lytte til andre med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tryggleik. Munnlege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blir oppøvde i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prosess som begynner med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refererande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ytringar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ofte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karakter, og blir utvikla til fagrelevante og fagspesifikke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tankerekkjer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aukande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grad av argumentasjon, drøfting og presis bruk av fagomgrep. Forståing for ulike syn, evne til perspektivtaking og evne til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uttrykkje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usemje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sakleg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med vørdnad for andre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oppfatningar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òg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 av munnlege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44834" w:rsidRP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Å kunne skrive </w:t>
      </w:r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kunne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uttrykkje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grunngje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argumentere for standpunkt, og formidle og dele kunnskap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skriftleg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Det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samanlikne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drøfte årsaker, verknader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om å kunne vurdere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verdiar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kjelder,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hypotesar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modellar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å kunne presentere resultat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undersøkingar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skriftleg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Evne til å vurdere og gjennomarbeide eigne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òg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ferdigheita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Utvikling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skriveferdigheitene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gradvis oppøving,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formulere enkle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faktasetningar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konkrete spørsmål, over evne til å kunne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att og oppsummere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til å kunne formulere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problemstillingar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strukturere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drøftande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tekst med bruk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kjeldetilvisingar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Oppøving i kritisk og variert kjeldebruk, i å kunne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trekkje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grunngjevne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konklusjonar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aukande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bruk av fagomgrep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stigande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refleksjon omkring tema, er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sentral del av prosessen.</w:t>
      </w:r>
    </w:p>
    <w:p w:rsidR="00844834" w:rsidRP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Å kunne lese </w:t>
      </w:r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utforske, tolke og reflektere over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å forstå eige og andre samfunn og andre tider,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stader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menneske. Det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å kunne behandle og bruke informasjon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bilete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film,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teikningar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grafar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tabellar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kart, og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gjere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målretta informasjonssøk, kritisk vurdering og medvitne val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bortval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kjelder. Utvikling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leseferdigheitene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gradvis oppøving,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forståing av tekst og visuelle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framstillingar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gjennom tolking og vurdering til utvikling av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kritisk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kunnskapstileigning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Lesing for informasjonsinnhenting og kritisk lesing av kjelder tek til med å finne informasjon i enkle, tilrettelagde kjelder og å vurdere om informasjonen er </w:t>
      </w:r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nyttig.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Seinare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kjem oppøving av evna til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gjere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eigne informasjonssøk,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samanlikne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informasjon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ulike kjelder og kritisk vurdere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deira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relevans,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truverd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formål.</w:t>
      </w:r>
    </w:p>
    <w:p w:rsidR="00844834" w:rsidRP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Å kunne </w:t>
      </w:r>
      <w:proofErr w:type="spellStart"/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rekne</w:t>
      </w:r>
      <w:proofErr w:type="spellEnd"/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kunne hente inn, arbeide med og vurdere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taltilfang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tema, og å framstille dette i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tabellar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grafar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figurar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Rekning 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om å bruke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samanlikne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analysere og presentere statistisk talmateriale som illustrerer utvikling og variasjon. Evna til å gjennomføre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undersøkingar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teljing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rekning, bruke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databasar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kritisk tolke talmateriale er sentral. Det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å bruke målestokk,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rekne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tid og bruke rekning til å forvalte pengebruk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økonomi.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Rekneferdigheitene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gradvis oppøvde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finne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meistre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teljing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klassifisering, bruk og framstilling av data.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evna til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samanfatte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samanlikne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tolke statistisk informasjon utvikla, og evna til analyse, kritisk bruk og vurdering av data. Arbeid med data som illustrerer utvikling og variasjon ved hjelp av statistiske mål, er sentralt.</w:t>
      </w:r>
    </w:p>
    <w:p w:rsidR="00844834" w:rsidRP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:rsidR="00844834" w:rsidRPr="00844834" w:rsidRDefault="00844834" w:rsidP="0084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Digitale </w:t>
      </w:r>
      <w:proofErr w:type="spellStart"/>
      <w:r w:rsidRPr="008448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kunne bruke digitale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ressursar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utforske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nettstader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søkje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informasjon, utøve kjeldekritikk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velje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 relevant informasjon om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tema.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å bruke digitale presentasjons- og samarbeidsverktøy til å utarbeide, presentere og publisere multimediale produkt. Digitale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seie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kunne kommunisere og samarbeide digitalt om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tema, og å følgje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reglar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normer for nettbasert kommunikasjon,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medrekna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personvern og opphavsrett. Utvikling av digitale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lære seg å bruke digitale verktøy og medium for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tileigne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kunnskap,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uttrykkje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eigen kompetanse og forsterke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bodskapar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Digitale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samfunnsfag blir oppøvde i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prosess som begynner med å bruke digitale verktøy til å finne og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att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samfunnsfagleg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innhald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evna til å bruke varierte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søkjestrategiar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utvikla, til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gjere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kritiske val og til å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uttrykkje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</w:t>
      </w:r>
      <w:proofErr w:type="spellEnd"/>
      <w:r w:rsidRPr="008448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refleksjon.</w:t>
      </w:r>
    </w:p>
    <w:p w:rsidR="008E5432" w:rsidRPr="008E5432" w:rsidRDefault="008E5432" w:rsidP="008E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5432" w:rsidRDefault="008E5432" w:rsidP="008E5432">
      <w:pPr>
        <w:spacing w:after="0"/>
      </w:pPr>
    </w:p>
    <w:sectPr w:rsidR="008E5432" w:rsidSect="008E543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4" w:rsidRDefault="00844834" w:rsidP="00844834">
      <w:pPr>
        <w:spacing w:after="0" w:line="240" w:lineRule="auto"/>
      </w:pPr>
      <w:r>
        <w:separator/>
      </w:r>
    </w:p>
  </w:endnote>
  <w:endnote w:type="continuationSeparator" w:id="0">
    <w:p w:rsidR="00844834" w:rsidRDefault="00844834" w:rsidP="0084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65491"/>
      <w:docPartObj>
        <w:docPartGallery w:val="Page Numbers (Bottom of Page)"/>
        <w:docPartUnique/>
      </w:docPartObj>
    </w:sdtPr>
    <w:sdtContent>
      <w:p w:rsidR="00844834" w:rsidRDefault="0084483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44834" w:rsidRDefault="0084483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4" w:rsidRDefault="00844834" w:rsidP="00844834">
      <w:pPr>
        <w:spacing w:after="0" w:line="240" w:lineRule="auto"/>
      </w:pPr>
      <w:r>
        <w:separator/>
      </w:r>
    </w:p>
  </w:footnote>
  <w:footnote w:type="continuationSeparator" w:id="0">
    <w:p w:rsidR="00844834" w:rsidRDefault="00844834" w:rsidP="0084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32"/>
    <w:rsid w:val="006149FC"/>
    <w:rsid w:val="00844834"/>
    <w:rsid w:val="008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43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4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834"/>
  </w:style>
  <w:style w:type="paragraph" w:styleId="Bunntekst">
    <w:name w:val="footer"/>
    <w:basedOn w:val="Normal"/>
    <w:link w:val="BunntekstTegn"/>
    <w:uiPriority w:val="99"/>
    <w:unhideWhenUsed/>
    <w:rsid w:val="0084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43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4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834"/>
  </w:style>
  <w:style w:type="paragraph" w:styleId="Bunntekst">
    <w:name w:val="footer"/>
    <w:basedOn w:val="Normal"/>
    <w:link w:val="BunntekstTegn"/>
    <w:uiPriority w:val="99"/>
    <w:unhideWhenUsed/>
    <w:rsid w:val="0084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CF0524ED.dotm</Template>
  <TotalTime>17</TotalTime>
  <Pages>6</Pages>
  <Words>2029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1</cp:revision>
  <dcterms:created xsi:type="dcterms:W3CDTF">2015-09-18T12:54:00Z</dcterms:created>
  <dcterms:modified xsi:type="dcterms:W3CDTF">2015-09-18T13:11:00Z</dcterms:modified>
</cp:coreProperties>
</file>