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FC" w:rsidRPr="00FD569D" w:rsidRDefault="00FD569D" w:rsidP="00FD569D">
      <w:pPr>
        <w:spacing w:after="0"/>
        <w:jc w:val="center"/>
        <w:rPr>
          <w:b/>
          <w:sz w:val="144"/>
          <w:szCs w:val="144"/>
        </w:rPr>
      </w:pPr>
      <w:r w:rsidRPr="00FD569D">
        <w:rPr>
          <w:b/>
          <w:sz w:val="144"/>
          <w:szCs w:val="144"/>
        </w:rPr>
        <w:t>Fagplan i matematikk</w:t>
      </w:r>
    </w:p>
    <w:p w:rsidR="00FD569D" w:rsidRDefault="00FD569D" w:rsidP="00FD569D">
      <w:pPr>
        <w:spacing w:after="0"/>
        <w:jc w:val="center"/>
        <w:rPr>
          <w:b/>
          <w:sz w:val="44"/>
          <w:szCs w:val="144"/>
        </w:rPr>
      </w:pPr>
      <w:r w:rsidRPr="00FD569D">
        <w:rPr>
          <w:b/>
          <w:sz w:val="44"/>
          <w:szCs w:val="144"/>
        </w:rPr>
        <w:t>Grünerløkka skole</w:t>
      </w:r>
    </w:p>
    <w:p w:rsidR="00604403" w:rsidRPr="00604403" w:rsidRDefault="00604403" w:rsidP="00FD569D">
      <w:pPr>
        <w:spacing w:after="0"/>
        <w:jc w:val="center"/>
        <w:rPr>
          <w:sz w:val="24"/>
          <w:szCs w:val="144"/>
        </w:rPr>
      </w:pPr>
      <w:r w:rsidRPr="00604403">
        <w:rPr>
          <w:sz w:val="24"/>
          <w:szCs w:val="144"/>
        </w:rPr>
        <w:t>Revidert våren 2015</w:t>
      </w:r>
    </w:p>
    <w:p w:rsidR="00FD569D" w:rsidRDefault="00FD569D" w:rsidP="00FD569D">
      <w:pPr>
        <w:spacing w:after="0"/>
        <w:jc w:val="center"/>
        <w:rPr>
          <w:b/>
          <w:sz w:val="44"/>
          <w:szCs w:val="144"/>
        </w:rPr>
      </w:pPr>
      <w:bookmarkStart w:id="0" w:name="_GoBack"/>
      <w:bookmarkEnd w:id="0"/>
    </w:p>
    <w:p w:rsidR="00FD569D" w:rsidRDefault="00FD569D" w:rsidP="00FD569D">
      <w:pPr>
        <w:spacing w:after="0"/>
        <w:jc w:val="center"/>
        <w:rPr>
          <w:b/>
          <w:sz w:val="44"/>
          <w:szCs w:val="144"/>
        </w:rPr>
      </w:pPr>
      <w:r>
        <w:rPr>
          <w:noProof/>
          <w:lang w:eastAsia="nb-NO"/>
        </w:rPr>
        <w:drawing>
          <wp:inline distT="0" distB="0" distL="0" distR="0" wp14:anchorId="4E160DDA" wp14:editId="3F1E545D">
            <wp:extent cx="3314700" cy="3314700"/>
            <wp:effectExtent l="0" t="0" r="0" b="0"/>
            <wp:docPr id="1" name="irc_mi" descr="http://www.scientificamerican.com/sciam/cache/file/C3F13D52-66BF-495A-A4A4EEDDEF7E9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tificamerican.com/sciam/cache/file/C3F13D52-66BF-495A-A4A4EEDDEF7E9C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569D" w:rsidRDefault="00FD569D" w:rsidP="00FD569D">
      <w:pPr>
        <w:spacing w:after="0"/>
        <w:rPr>
          <w:b/>
          <w:sz w:val="44"/>
          <w:szCs w:val="144"/>
        </w:rPr>
      </w:pPr>
      <w:proofErr w:type="spellStart"/>
      <w:r>
        <w:rPr>
          <w:b/>
          <w:sz w:val="44"/>
          <w:szCs w:val="144"/>
        </w:rPr>
        <w:lastRenderedPageBreak/>
        <w:t>Føremål</w:t>
      </w:r>
      <w:proofErr w:type="spellEnd"/>
    </w:p>
    <w:p w:rsidR="00FD569D" w:rsidRDefault="00FD569D" w:rsidP="00FD569D">
      <w:pPr>
        <w:pStyle w:val="grep"/>
        <w:spacing w:before="0" w:beforeAutospacing="0" w:after="0" w:afterAutospacing="0"/>
      </w:pPr>
      <w:r w:rsidRPr="00FD569D">
        <w:t xml:space="preserve">Matematikk er </w:t>
      </w:r>
      <w:proofErr w:type="spellStart"/>
      <w:r w:rsidRPr="00FD569D">
        <w:t>ein</w:t>
      </w:r>
      <w:proofErr w:type="spellEnd"/>
      <w:r w:rsidRPr="00FD569D">
        <w:t xml:space="preserve"> del av den globale kulturarven vår. Mennesket har til alle tider brukt og utvikla matematikk for å systematisere </w:t>
      </w:r>
      <w:proofErr w:type="spellStart"/>
      <w:r w:rsidRPr="00FD569D">
        <w:t>erfaringar</w:t>
      </w:r>
      <w:proofErr w:type="spellEnd"/>
      <w:r w:rsidRPr="00FD569D">
        <w:t xml:space="preserve">, for å beskrive og forstå </w:t>
      </w:r>
      <w:proofErr w:type="spellStart"/>
      <w:r w:rsidRPr="00FD569D">
        <w:t>samanhengar</w:t>
      </w:r>
      <w:proofErr w:type="spellEnd"/>
      <w:r w:rsidRPr="00FD569D">
        <w:t xml:space="preserve"> i naturen og i samfunnet og for å utforske universet. Ei anna inspirasjonskjelde til utviklinga av faget har </w:t>
      </w:r>
      <w:proofErr w:type="spellStart"/>
      <w:r w:rsidRPr="00FD569D">
        <w:t>vore</w:t>
      </w:r>
      <w:proofErr w:type="spellEnd"/>
      <w:r w:rsidRPr="00FD569D">
        <w:t xml:space="preserve"> glede hos menneske over arbeid med matematikk i seg </w:t>
      </w:r>
      <w:proofErr w:type="spellStart"/>
      <w:r w:rsidRPr="00FD569D">
        <w:t>sjølv</w:t>
      </w:r>
      <w:proofErr w:type="spellEnd"/>
      <w:r w:rsidRPr="00FD569D">
        <w:t xml:space="preserve">. Faget grip inn i mange vitale samfunnsområde, som medisin, økonomi, teknologi, kommunikasjon, energiforvalting og </w:t>
      </w:r>
      <w:proofErr w:type="spellStart"/>
      <w:r w:rsidRPr="00FD569D">
        <w:t>byggjeverksemd</w:t>
      </w:r>
      <w:proofErr w:type="spellEnd"/>
      <w:r w:rsidRPr="00FD569D">
        <w:t xml:space="preserve">. Solid kompetanse i matematikk er dermed </w:t>
      </w:r>
      <w:proofErr w:type="spellStart"/>
      <w:r w:rsidRPr="00FD569D">
        <w:t>ein</w:t>
      </w:r>
      <w:proofErr w:type="spellEnd"/>
      <w:r w:rsidRPr="00FD569D">
        <w:t xml:space="preserve"> </w:t>
      </w:r>
      <w:proofErr w:type="spellStart"/>
      <w:r w:rsidRPr="00FD569D">
        <w:t>føresetnad</w:t>
      </w:r>
      <w:proofErr w:type="spellEnd"/>
      <w:r w:rsidRPr="00FD569D">
        <w:t xml:space="preserve"> for utvikling av samfunnet. </w:t>
      </w:r>
      <w:proofErr w:type="spellStart"/>
      <w:r w:rsidRPr="00FD569D">
        <w:t>Eit</w:t>
      </w:r>
      <w:proofErr w:type="spellEnd"/>
      <w:r w:rsidRPr="00FD569D">
        <w:t xml:space="preserve"> aktivt demokrati treng </w:t>
      </w:r>
      <w:proofErr w:type="spellStart"/>
      <w:r w:rsidRPr="00FD569D">
        <w:t>borgarar</w:t>
      </w:r>
      <w:proofErr w:type="spellEnd"/>
      <w:r w:rsidRPr="00FD569D">
        <w:t xml:space="preserve"> som kan </w:t>
      </w:r>
      <w:proofErr w:type="spellStart"/>
      <w:r w:rsidRPr="00FD569D">
        <w:t>setje</w:t>
      </w:r>
      <w:proofErr w:type="spellEnd"/>
      <w:r w:rsidRPr="00FD569D">
        <w:t xml:space="preserve"> seg inn i, forstå og kritisk vurdere kvantitativ informasjon, statistiske </w:t>
      </w:r>
      <w:proofErr w:type="spellStart"/>
      <w:r w:rsidRPr="00FD569D">
        <w:t>analysar</w:t>
      </w:r>
      <w:proofErr w:type="spellEnd"/>
      <w:r w:rsidRPr="00FD569D">
        <w:t xml:space="preserve"> og økonomiske </w:t>
      </w:r>
      <w:proofErr w:type="spellStart"/>
      <w:r w:rsidRPr="00FD569D">
        <w:t>prognosar</w:t>
      </w:r>
      <w:proofErr w:type="spellEnd"/>
      <w:r w:rsidRPr="00FD569D">
        <w:t xml:space="preserve">. På den måten er matematisk kompetanse nødvendig for å forstå og kunne </w:t>
      </w:r>
      <w:proofErr w:type="spellStart"/>
      <w:r w:rsidRPr="00FD569D">
        <w:t>påverke</w:t>
      </w:r>
      <w:proofErr w:type="spellEnd"/>
      <w:r w:rsidRPr="00FD569D">
        <w:t xml:space="preserve"> </w:t>
      </w:r>
      <w:proofErr w:type="spellStart"/>
      <w:r w:rsidRPr="00FD569D">
        <w:t>prosessar</w:t>
      </w:r>
      <w:proofErr w:type="spellEnd"/>
      <w:r w:rsidRPr="00FD569D">
        <w:t xml:space="preserve"> i samfunnet.</w:t>
      </w:r>
    </w:p>
    <w:p w:rsidR="00FD569D" w:rsidRPr="00FD569D" w:rsidRDefault="00FD569D" w:rsidP="00FD569D">
      <w:pPr>
        <w:pStyle w:val="grep"/>
        <w:spacing w:before="0" w:beforeAutospacing="0" w:after="0" w:afterAutospacing="0"/>
      </w:pPr>
    </w:p>
    <w:p w:rsidR="00FD569D" w:rsidRDefault="00FD569D" w:rsidP="00FD569D">
      <w:pPr>
        <w:pStyle w:val="grep"/>
        <w:spacing w:before="0" w:beforeAutospacing="0" w:after="0" w:afterAutospacing="0"/>
      </w:pPr>
      <w:r w:rsidRPr="00FD569D">
        <w:t xml:space="preserve">Matematisk kompetanse </w:t>
      </w:r>
      <w:proofErr w:type="spellStart"/>
      <w:r w:rsidRPr="00FD569D">
        <w:t>inneber</w:t>
      </w:r>
      <w:proofErr w:type="spellEnd"/>
      <w:r w:rsidRPr="00FD569D">
        <w:t xml:space="preserve"> å bruke problemløysing og modellering til å analysere og omforme </w:t>
      </w:r>
      <w:proofErr w:type="spellStart"/>
      <w:r w:rsidRPr="00FD569D">
        <w:t>eit</w:t>
      </w:r>
      <w:proofErr w:type="spellEnd"/>
      <w:r w:rsidRPr="00FD569D">
        <w:t xml:space="preserve"> problem til matematisk form, løyse det og vurdere kor gyldig løysinga er. Dette har òg </w:t>
      </w:r>
      <w:proofErr w:type="spellStart"/>
      <w:r w:rsidRPr="00FD569D">
        <w:t>språklege</w:t>
      </w:r>
      <w:proofErr w:type="spellEnd"/>
      <w:r w:rsidRPr="00FD569D">
        <w:t xml:space="preserve"> aspekt, som det å formidle, samtale om og resonnere omkring </w:t>
      </w:r>
      <w:proofErr w:type="spellStart"/>
      <w:r w:rsidRPr="00FD569D">
        <w:t>idear</w:t>
      </w:r>
      <w:proofErr w:type="spellEnd"/>
      <w:r w:rsidRPr="00FD569D">
        <w:t xml:space="preserve">. I det meste av matematisk aktivitet </w:t>
      </w:r>
      <w:proofErr w:type="spellStart"/>
      <w:r w:rsidRPr="00FD569D">
        <w:t>nyttar</w:t>
      </w:r>
      <w:proofErr w:type="spellEnd"/>
      <w:r w:rsidRPr="00FD569D">
        <w:t xml:space="preserve"> </w:t>
      </w:r>
      <w:proofErr w:type="spellStart"/>
      <w:r w:rsidRPr="00FD569D">
        <w:t>ein</w:t>
      </w:r>
      <w:proofErr w:type="spellEnd"/>
      <w:r w:rsidRPr="00FD569D">
        <w:t xml:space="preserve"> hjelpemiddel og teknologi. Både det å kunne bruke og vurdere ulike hjelpemiddel og det å kjenne til avgrensinga </w:t>
      </w:r>
      <w:proofErr w:type="spellStart"/>
      <w:r w:rsidRPr="00FD569D">
        <w:t>deira</w:t>
      </w:r>
      <w:proofErr w:type="spellEnd"/>
      <w:r w:rsidRPr="00FD569D">
        <w:t xml:space="preserve"> er viktige </w:t>
      </w:r>
      <w:proofErr w:type="spellStart"/>
      <w:r w:rsidRPr="00FD569D">
        <w:t>delar</w:t>
      </w:r>
      <w:proofErr w:type="spellEnd"/>
      <w:r w:rsidRPr="00FD569D">
        <w:t xml:space="preserve"> av faget. Kompetanse i matematikk er </w:t>
      </w:r>
      <w:proofErr w:type="spellStart"/>
      <w:r w:rsidRPr="00FD569D">
        <w:t>ein</w:t>
      </w:r>
      <w:proofErr w:type="spellEnd"/>
      <w:r w:rsidRPr="00FD569D">
        <w:t xml:space="preserve"> viktig </w:t>
      </w:r>
      <w:proofErr w:type="spellStart"/>
      <w:r w:rsidRPr="00FD569D">
        <w:t>reiskap</w:t>
      </w:r>
      <w:proofErr w:type="spellEnd"/>
      <w:r w:rsidRPr="00FD569D">
        <w:t xml:space="preserve"> for den </w:t>
      </w:r>
      <w:proofErr w:type="spellStart"/>
      <w:r w:rsidRPr="00FD569D">
        <w:t>einskilde</w:t>
      </w:r>
      <w:proofErr w:type="spellEnd"/>
      <w:r w:rsidRPr="00FD569D">
        <w:t xml:space="preserve">, og faget kan </w:t>
      </w:r>
      <w:proofErr w:type="spellStart"/>
      <w:r w:rsidRPr="00FD569D">
        <w:t>leggje</w:t>
      </w:r>
      <w:proofErr w:type="spellEnd"/>
      <w:r w:rsidRPr="00FD569D">
        <w:t xml:space="preserve"> grunnlag for å ta </w:t>
      </w:r>
      <w:proofErr w:type="spellStart"/>
      <w:r w:rsidRPr="00FD569D">
        <w:t>vidare</w:t>
      </w:r>
      <w:proofErr w:type="spellEnd"/>
      <w:r w:rsidRPr="00FD569D">
        <w:t xml:space="preserve"> utdanning og for deltaking i yrkesliv og </w:t>
      </w:r>
      <w:proofErr w:type="spellStart"/>
      <w:r w:rsidRPr="00FD569D">
        <w:t>fritidsaktivitetar</w:t>
      </w:r>
      <w:proofErr w:type="spellEnd"/>
      <w:r w:rsidRPr="00FD569D">
        <w:t xml:space="preserve">. Matematikk ligg til grunn for store </w:t>
      </w:r>
      <w:proofErr w:type="spellStart"/>
      <w:r w:rsidRPr="00FD569D">
        <w:t>delar</w:t>
      </w:r>
      <w:proofErr w:type="spellEnd"/>
      <w:r w:rsidRPr="00FD569D">
        <w:t xml:space="preserve"> av kulturhistoria vår og utviklinga av logisk tenking. På den måten </w:t>
      </w:r>
      <w:proofErr w:type="spellStart"/>
      <w:r w:rsidRPr="00FD569D">
        <w:t>spelar</w:t>
      </w:r>
      <w:proofErr w:type="spellEnd"/>
      <w:r w:rsidRPr="00FD569D">
        <w:t xml:space="preserve"> faget ei sentral rolle i den allmenne danninga ved å </w:t>
      </w:r>
      <w:proofErr w:type="spellStart"/>
      <w:r w:rsidRPr="00FD569D">
        <w:t>påverke</w:t>
      </w:r>
      <w:proofErr w:type="spellEnd"/>
      <w:r w:rsidRPr="00FD569D">
        <w:t xml:space="preserve"> identitet, </w:t>
      </w:r>
      <w:proofErr w:type="spellStart"/>
      <w:r w:rsidRPr="00FD569D">
        <w:t>tenkjemåte</w:t>
      </w:r>
      <w:proofErr w:type="spellEnd"/>
      <w:r w:rsidRPr="00FD569D">
        <w:t xml:space="preserve"> og </w:t>
      </w:r>
      <w:proofErr w:type="spellStart"/>
      <w:r w:rsidRPr="00FD569D">
        <w:t>sjølvforståing</w:t>
      </w:r>
      <w:proofErr w:type="spellEnd"/>
      <w:r w:rsidRPr="00FD569D">
        <w:t>.</w:t>
      </w:r>
    </w:p>
    <w:p w:rsidR="00FD569D" w:rsidRPr="00FD569D" w:rsidRDefault="00FD569D" w:rsidP="00FD569D">
      <w:pPr>
        <w:pStyle w:val="grep"/>
        <w:spacing w:before="0" w:beforeAutospacing="0" w:after="0" w:afterAutospacing="0"/>
      </w:pPr>
    </w:p>
    <w:p w:rsidR="00FD569D" w:rsidRPr="00604403" w:rsidRDefault="00FD569D" w:rsidP="00FD569D">
      <w:pPr>
        <w:pStyle w:val="grep"/>
        <w:spacing w:before="0" w:beforeAutospacing="0" w:after="0" w:afterAutospacing="0"/>
      </w:pPr>
      <w:r w:rsidRPr="00FD569D">
        <w:t xml:space="preserve">Matematikkfaget i skolen </w:t>
      </w:r>
      <w:proofErr w:type="spellStart"/>
      <w:r w:rsidRPr="00FD569D">
        <w:t>medverkar</w:t>
      </w:r>
      <w:proofErr w:type="spellEnd"/>
      <w:r w:rsidRPr="00FD569D">
        <w:t xml:space="preserve"> til å utvikle den matematiske kompetansen som samfunnet og den </w:t>
      </w:r>
      <w:proofErr w:type="spellStart"/>
      <w:r w:rsidRPr="00FD569D">
        <w:t>einskilde</w:t>
      </w:r>
      <w:proofErr w:type="spellEnd"/>
      <w:r w:rsidRPr="00FD569D">
        <w:t xml:space="preserve"> treng. For å oppnå dette må </w:t>
      </w:r>
      <w:proofErr w:type="spellStart"/>
      <w:r w:rsidRPr="00FD569D">
        <w:t>elevane</w:t>
      </w:r>
      <w:proofErr w:type="spellEnd"/>
      <w:r w:rsidRPr="00FD569D">
        <w:t xml:space="preserve"> få høve til å arbeide både praktisk og teoretisk. Opplæringa </w:t>
      </w:r>
      <w:proofErr w:type="spellStart"/>
      <w:r w:rsidRPr="00FD569D">
        <w:t>vekslar</w:t>
      </w:r>
      <w:proofErr w:type="spellEnd"/>
      <w:r w:rsidRPr="00FD569D">
        <w:t xml:space="preserve"> mellom </w:t>
      </w:r>
      <w:proofErr w:type="spellStart"/>
      <w:r w:rsidRPr="00FD569D">
        <w:t>utforskande</w:t>
      </w:r>
      <w:proofErr w:type="spellEnd"/>
      <w:r w:rsidRPr="00FD569D">
        <w:t xml:space="preserve">, </w:t>
      </w:r>
      <w:proofErr w:type="spellStart"/>
      <w:r w:rsidRPr="00FD569D">
        <w:t>leikande</w:t>
      </w:r>
      <w:proofErr w:type="spellEnd"/>
      <w:r w:rsidRPr="00FD569D">
        <w:t xml:space="preserve">, kreative og </w:t>
      </w:r>
      <w:proofErr w:type="spellStart"/>
      <w:r w:rsidRPr="00FD569D">
        <w:t>problemløysande</w:t>
      </w:r>
      <w:proofErr w:type="spellEnd"/>
      <w:r w:rsidRPr="00FD569D">
        <w:t xml:space="preserve"> </w:t>
      </w:r>
      <w:proofErr w:type="spellStart"/>
      <w:r w:rsidRPr="00FD569D">
        <w:t>aktivitetar</w:t>
      </w:r>
      <w:proofErr w:type="spellEnd"/>
      <w:r w:rsidRPr="00FD569D">
        <w:t xml:space="preserve"> og </w:t>
      </w:r>
      <w:proofErr w:type="spellStart"/>
      <w:r w:rsidRPr="00FD569D">
        <w:t>ferdigheitstrening</w:t>
      </w:r>
      <w:proofErr w:type="spellEnd"/>
      <w:r w:rsidRPr="00FD569D">
        <w:t xml:space="preserve">. I praktisk bruk viser matematikk sin nytte som reiskapsfag. I skolearbeidet </w:t>
      </w:r>
      <w:proofErr w:type="spellStart"/>
      <w:r w:rsidRPr="00FD569D">
        <w:t>utnyttar</w:t>
      </w:r>
      <w:proofErr w:type="spellEnd"/>
      <w:r w:rsidRPr="00FD569D">
        <w:t xml:space="preserve"> </w:t>
      </w:r>
      <w:proofErr w:type="spellStart"/>
      <w:r w:rsidRPr="00FD569D">
        <w:t>ein</w:t>
      </w:r>
      <w:proofErr w:type="spellEnd"/>
      <w:r w:rsidRPr="00FD569D">
        <w:t xml:space="preserve"> sentrale </w:t>
      </w:r>
      <w:proofErr w:type="spellStart"/>
      <w:r w:rsidRPr="00FD569D">
        <w:t>idear</w:t>
      </w:r>
      <w:proofErr w:type="spellEnd"/>
      <w:r w:rsidRPr="00FD569D">
        <w:t xml:space="preserve">, former, </w:t>
      </w:r>
      <w:proofErr w:type="spellStart"/>
      <w:r w:rsidRPr="00FD569D">
        <w:t>strukturar</w:t>
      </w:r>
      <w:proofErr w:type="spellEnd"/>
      <w:r w:rsidRPr="00FD569D">
        <w:t xml:space="preserve"> og </w:t>
      </w:r>
      <w:proofErr w:type="spellStart"/>
      <w:r w:rsidRPr="00FD569D">
        <w:t>samanhengar</w:t>
      </w:r>
      <w:proofErr w:type="spellEnd"/>
      <w:r w:rsidRPr="00FD569D">
        <w:t xml:space="preserve"> i faget. </w:t>
      </w:r>
      <w:proofErr w:type="spellStart"/>
      <w:r w:rsidRPr="00FD569D">
        <w:t>Elevane</w:t>
      </w:r>
      <w:proofErr w:type="spellEnd"/>
      <w:r w:rsidRPr="00FD569D">
        <w:t xml:space="preserve"> må </w:t>
      </w:r>
      <w:proofErr w:type="spellStart"/>
      <w:r w:rsidRPr="00FD569D">
        <w:t>utfordrast</w:t>
      </w:r>
      <w:proofErr w:type="spellEnd"/>
      <w:r w:rsidRPr="00FD569D">
        <w:t xml:space="preserve"> til å kommunisere matematikk </w:t>
      </w:r>
      <w:proofErr w:type="spellStart"/>
      <w:r w:rsidRPr="00FD569D">
        <w:t>skriftleg</w:t>
      </w:r>
      <w:proofErr w:type="spellEnd"/>
      <w:r w:rsidRPr="00FD569D">
        <w:t xml:space="preserve">, </w:t>
      </w:r>
      <w:proofErr w:type="spellStart"/>
      <w:r w:rsidRPr="00FD569D">
        <w:t>munnleg</w:t>
      </w:r>
      <w:proofErr w:type="spellEnd"/>
      <w:r w:rsidRPr="00FD569D">
        <w:t xml:space="preserve"> og digitalt. Det må </w:t>
      </w:r>
      <w:proofErr w:type="spellStart"/>
      <w:r w:rsidRPr="00FD569D">
        <w:t>leggjast</w:t>
      </w:r>
      <w:proofErr w:type="spellEnd"/>
      <w:r w:rsidRPr="00FD569D">
        <w:t xml:space="preserve"> til rette for at både jenter og </w:t>
      </w:r>
      <w:proofErr w:type="spellStart"/>
      <w:r w:rsidRPr="00FD569D">
        <w:t>gutar</w:t>
      </w:r>
      <w:proofErr w:type="spellEnd"/>
      <w:r w:rsidRPr="00FD569D">
        <w:t xml:space="preserve"> får rike </w:t>
      </w:r>
      <w:proofErr w:type="spellStart"/>
      <w:r w:rsidRPr="00FD569D">
        <w:t>erfaringar</w:t>
      </w:r>
      <w:proofErr w:type="spellEnd"/>
      <w:r w:rsidRPr="00FD569D">
        <w:t xml:space="preserve"> med matematikkfaget, som skaper positive </w:t>
      </w:r>
      <w:proofErr w:type="spellStart"/>
      <w:r w:rsidRPr="00FD569D">
        <w:t>haldningar</w:t>
      </w:r>
      <w:proofErr w:type="spellEnd"/>
      <w:r w:rsidRPr="00FD569D">
        <w:t xml:space="preserve"> og </w:t>
      </w:r>
      <w:proofErr w:type="spellStart"/>
      <w:r w:rsidRPr="00FD569D">
        <w:t>ein</w:t>
      </w:r>
      <w:proofErr w:type="spellEnd"/>
      <w:r w:rsidRPr="00FD569D">
        <w:t xml:space="preserve"> solid fagkompetanse. </w:t>
      </w:r>
      <w:r w:rsidRPr="00604403">
        <w:t xml:space="preserve">Slik blir det lagt </w:t>
      </w:r>
      <w:proofErr w:type="spellStart"/>
      <w:r w:rsidRPr="00604403">
        <w:t>eit</w:t>
      </w:r>
      <w:proofErr w:type="spellEnd"/>
      <w:r w:rsidRPr="00604403">
        <w:t xml:space="preserve"> grunnlag for livslang læring.</w:t>
      </w:r>
    </w:p>
    <w:p w:rsidR="00FD569D" w:rsidRDefault="00FD569D" w:rsidP="00FD569D">
      <w:pPr>
        <w:spacing w:after="0"/>
        <w:rPr>
          <w:sz w:val="24"/>
          <w:szCs w:val="24"/>
        </w:rPr>
      </w:pPr>
    </w:p>
    <w:p w:rsidR="00FD569D" w:rsidRDefault="00FD569D" w:rsidP="00FD56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</w:p>
    <w:p w:rsidR="00FD569D" w:rsidRDefault="00FD569D" w:rsidP="00FD56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nb-NO"/>
        </w:rPr>
      </w:pPr>
    </w:p>
    <w:p w:rsidR="00FD569D" w:rsidRDefault="00FD569D" w:rsidP="00FD56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nb-NO"/>
        </w:rPr>
      </w:pPr>
    </w:p>
    <w:p w:rsidR="00FD569D" w:rsidRDefault="00FD569D" w:rsidP="00FD56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nb-NO"/>
        </w:rPr>
      </w:pPr>
    </w:p>
    <w:p w:rsidR="00FD569D" w:rsidRDefault="00FD569D" w:rsidP="00FD56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nb-NO"/>
        </w:rPr>
      </w:pPr>
    </w:p>
    <w:p w:rsidR="00FD569D" w:rsidRDefault="00FD569D" w:rsidP="00FD56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36"/>
          <w:lang w:eastAsia="nb-NO"/>
        </w:rPr>
        <w:lastRenderedPageBreak/>
        <w:t>Hovudområder</w:t>
      </w:r>
      <w:proofErr w:type="spellEnd"/>
    </w:p>
    <w:p w:rsidR="00FD569D" w:rsidRPr="00FD569D" w:rsidRDefault="00FD569D" w:rsidP="00FD569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nb-NO"/>
        </w:rPr>
      </w:pPr>
    </w:p>
    <w:p w:rsidR="00FD569D" w:rsidRP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Faget er strukturert i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det er formulert kompetansemål for.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Hovudområda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utfyller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kvarandre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må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sjåast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samanheng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FD569D" w:rsidRP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Faget er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fellesfag for alle utdanningsprogramma i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vidaregåande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opplæring. Opplæringa skal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difor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gjerast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mest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mogleg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relevant for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elevane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å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tilpassast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ulike utdanningsprogramma.</w:t>
      </w:r>
    </w:p>
    <w:p w:rsidR="00FD569D" w:rsidRP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Matematikk har kompetansemål etter 2., 4., 7. og 10.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årssteget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grunnskolen og etter Vg1 i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studieførebuande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yrkesfaglege utdanningsprogram i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vidaregåande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opplæring. </w:t>
      </w:r>
    </w:p>
    <w:p w:rsid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D569D" w:rsidRP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Oversikt over </w:t>
      </w:r>
      <w:proofErr w:type="spellStart"/>
      <w:r w:rsidRPr="00FD569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hovudområda</w:t>
      </w:r>
      <w:proofErr w:type="spellEnd"/>
      <w:r w:rsidRPr="00FD569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</w:t>
      </w:r>
    </w:p>
    <w:p w:rsid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2"/>
        <w:gridCol w:w="2021"/>
        <w:gridCol w:w="2021"/>
      </w:tblGrid>
      <w:tr w:rsidR="00FD569D" w:rsidTr="00FD569D">
        <w:tc>
          <w:tcPr>
            <w:tcW w:w="2020" w:type="dxa"/>
            <w:shd w:val="clear" w:color="auto" w:fill="D9D9D9" w:themeFill="background1" w:themeFillShade="D9"/>
          </w:tcPr>
          <w:p w:rsidR="00FD569D" w:rsidRPr="00FD569D" w:rsidRDefault="00FD569D" w:rsidP="00FD5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FD5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Årssteg</w:t>
            </w:r>
            <w:proofErr w:type="spellEnd"/>
          </w:p>
        </w:tc>
        <w:tc>
          <w:tcPr>
            <w:tcW w:w="10104" w:type="dxa"/>
            <w:gridSpan w:val="5"/>
            <w:shd w:val="clear" w:color="auto" w:fill="D9D9D9" w:themeFill="background1" w:themeFillShade="D9"/>
          </w:tcPr>
          <w:p w:rsidR="00FD569D" w:rsidRPr="00FD569D" w:rsidRDefault="00FD569D" w:rsidP="00FD56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FD5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Hovudområde</w:t>
            </w:r>
            <w:proofErr w:type="spellEnd"/>
          </w:p>
        </w:tc>
      </w:tr>
      <w:tr w:rsidR="00FD569D" w:rsidTr="00FD569D">
        <w:tc>
          <w:tcPr>
            <w:tcW w:w="2020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 – 4.</w:t>
            </w:r>
          </w:p>
        </w:tc>
        <w:tc>
          <w:tcPr>
            <w:tcW w:w="2020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Tal</w:t>
            </w:r>
          </w:p>
        </w:tc>
        <w:tc>
          <w:tcPr>
            <w:tcW w:w="2020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Geometri</w:t>
            </w:r>
          </w:p>
        </w:tc>
        <w:tc>
          <w:tcPr>
            <w:tcW w:w="2022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Måling</w:t>
            </w:r>
          </w:p>
        </w:tc>
        <w:tc>
          <w:tcPr>
            <w:tcW w:w="2021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Statistikk</w:t>
            </w:r>
          </w:p>
        </w:tc>
        <w:tc>
          <w:tcPr>
            <w:tcW w:w="2021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D569D" w:rsidTr="00FD569D">
        <w:tc>
          <w:tcPr>
            <w:tcW w:w="2020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 – 7.</w:t>
            </w:r>
          </w:p>
        </w:tc>
        <w:tc>
          <w:tcPr>
            <w:tcW w:w="2020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Tal og algebra</w:t>
            </w:r>
          </w:p>
        </w:tc>
        <w:tc>
          <w:tcPr>
            <w:tcW w:w="2020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Geometri</w:t>
            </w:r>
          </w:p>
        </w:tc>
        <w:tc>
          <w:tcPr>
            <w:tcW w:w="2022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Måling</w:t>
            </w:r>
          </w:p>
        </w:tc>
        <w:tc>
          <w:tcPr>
            <w:tcW w:w="2021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Statistikk 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sannsyn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sannsynlighet)</w:t>
            </w:r>
          </w:p>
        </w:tc>
        <w:tc>
          <w:tcPr>
            <w:tcW w:w="2021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D569D" w:rsidTr="00FD569D">
        <w:tc>
          <w:tcPr>
            <w:tcW w:w="2020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 – 10.</w:t>
            </w:r>
          </w:p>
        </w:tc>
        <w:tc>
          <w:tcPr>
            <w:tcW w:w="2020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Tal og algebra</w:t>
            </w:r>
          </w:p>
        </w:tc>
        <w:tc>
          <w:tcPr>
            <w:tcW w:w="2020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Geometri</w:t>
            </w:r>
          </w:p>
        </w:tc>
        <w:tc>
          <w:tcPr>
            <w:tcW w:w="2022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Måling</w:t>
            </w:r>
          </w:p>
        </w:tc>
        <w:tc>
          <w:tcPr>
            <w:tcW w:w="2021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Statistikk,sannsyn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kombinatorikk</w:t>
            </w:r>
          </w:p>
        </w:tc>
        <w:tc>
          <w:tcPr>
            <w:tcW w:w="2021" w:type="dxa"/>
          </w:tcPr>
          <w:p w:rsidR="00FD569D" w:rsidRDefault="00FD569D" w:rsidP="00FD5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Funksjonar</w:t>
            </w:r>
            <w:proofErr w:type="spellEnd"/>
          </w:p>
        </w:tc>
      </w:tr>
    </w:tbl>
    <w:p w:rsid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D569D" w:rsidRDefault="00FD569D" w:rsidP="00FD569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D569D" w:rsidRPr="00FD569D" w:rsidRDefault="00FD569D" w:rsidP="00FD56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</w:pPr>
      <w:r w:rsidRPr="00FD569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Tal og algebra</w:t>
      </w:r>
    </w:p>
    <w:p w:rsid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tal og algebra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å utvikle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talforståing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innsikt i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korleis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tal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talbehandling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inngår i system og mønster. Med tal kan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kvantifisere mengder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storleikar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Området tal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både heile tal, brøk,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desimaltal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prosent. Algebra i skolen generaliserer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talrekning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at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bokstavar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andre symbol representerer tal. Det gjev høve til å beskrive og analysere mønster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samanhengar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Algebra blir òg nytta i samband med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hovudområda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geometri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FD569D" w:rsidRP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D569D" w:rsidRPr="00FD569D" w:rsidRDefault="00FD569D" w:rsidP="00FD56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Geometri</w:t>
      </w:r>
    </w:p>
    <w:p w:rsidR="00FD569D" w:rsidRP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Geometri i skolen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mellom anna om å analysere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eigenskapar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to- og tredimensjonale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figurar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gjere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konstruksjonar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berekningar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studerer dynamiske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prosessar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spegling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rotasjon og forskyving.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å beskrive plassering og forflytting i rutenett, kart og koordinatsystem. </w:t>
      </w:r>
    </w:p>
    <w:p w:rsidR="00FD569D" w:rsidRDefault="00FD569D" w:rsidP="00FD56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FD569D" w:rsidRDefault="00FD569D" w:rsidP="00FD56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FD569D" w:rsidRPr="00FD569D" w:rsidRDefault="00FD569D" w:rsidP="00FD56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Måling</w:t>
      </w:r>
    </w:p>
    <w:p w:rsid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Måling vil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seie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samanlikne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oftast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knyte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talstorleik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objekt eller ei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mengd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Denne prosessen krev at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brukar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måleiningar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høvelege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teknikkar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målereiskapar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formlar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Viktige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delar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måleprosessen er å vurdere resultatet og drøfte kor usikre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målingane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er.</w:t>
      </w:r>
    </w:p>
    <w:p w:rsidR="00634D91" w:rsidRPr="00FD569D" w:rsidRDefault="00634D91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D569D" w:rsidRPr="00FD569D" w:rsidRDefault="00FD569D" w:rsidP="00FD56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Statistikk, </w:t>
      </w:r>
      <w:proofErr w:type="spellStart"/>
      <w:r w:rsidRPr="00FD56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sannsyn</w:t>
      </w:r>
      <w:proofErr w:type="spellEnd"/>
      <w:r w:rsidRPr="00FD56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kombinatorikk</w:t>
      </w:r>
    </w:p>
    <w:p w:rsid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Statistikk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omfattar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planleggje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samle inn, organisere, analysere og presentere data. I analysen av data høyrer det med å beskrive generelle trekk ved datamaterialet. Å vurdere og sjå kritisk på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konklusjonar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framstilling av data er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sentral del av denne prosessen. I sannsynsrekning talfester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kor stor sjanse det er for at ei hending skal skje. I kombinatorikk arbeider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systematiske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måtar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å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telje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moglege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utfall for å kunne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berekne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sannsyn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634D91" w:rsidRPr="00FD569D" w:rsidRDefault="00634D91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D569D" w:rsidRPr="00FD569D" w:rsidRDefault="00FD569D" w:rsidP="00FD56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spellStart"/>
      <w:r w:rsidRPr="00FD56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Funksjonar</w:t>
      </w:r>
      <w:proofErr w:type="spellEnd"/>
    </w:p>
    <w:p w:rsid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funksjon beskriv endring eller utvikling av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storleik som er avhengig av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annan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på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eintydig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måte.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uttrykkjast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fleire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måtar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til dømes med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formlar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tabellar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grafar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Analyse av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funksjonar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går ut på å leite etter spesielle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eigenskapar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som kor raskt ei utvikling går, og når utviklinga får spesielle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verdiar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634D91" w:rsidRPr="00FD569D" w:rsidRDefault="00634D91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D569D" w:rsidRPr="00FD569D" w:rsidRDefault="00FD569D" w:rsidP="00FD56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D569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Økonomi</w:t>
      </w:r>
    </w:p>
    <w:p w:rsidR="00FD569D" w:rsidRPr="00FD569D" w:rsidRDefault="00FD569D" w:rsidP="00FD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Hovudområdet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økonomi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berekningar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>vurderingar</w:t>
      </w:r>
      <w:proofErr w:type="spellEnd"/>
      <w:r w:rsidRPr="00FD56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gjeld økonomiske forhold.</w:t>
      </w:r>
    </w:p>
    <w:p w:rsidR="00FD569D" w:rsidRDefault="00FD569D" w:rsidP="00FD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D91" w:rsidRDefault="00634D91" w:rsidP="00FD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D91" w:rsidRDefault="00634D91" w:rsidP="00FD569D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634D91">
        <w:rPr>
          <w:rFonts w:ascii="Times New Roman" w:hAnsi="Times New Roman" w:cs="Times New Roman"/>
          <w:b/>
          <w:sz w:val="44"/>
          <w:szCs w:val="44"/>
        </w:rPr>
        <w:t>Timetal</w:t>
      </w:r>
      <w:proofErr w:type="spellEnd"/>
    </w:p>
    <w:p w:rsidR="00634D91" w:rsidRDefault="00634D91" w:rsidP="00FD569D">
      <w:pPr>
        <w:spacing w:after="0"/>
        <w:rPr>
          <w:rFonts w:ascii="Times New Roman" w:hAnsi="Times New Roman" w:cs="Times New Roman"/>
          <w:sz w:val="24"/>
          <w:szCs w:val="4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4D91" w:rsidTr="00E31266">
        <w:tc>
          <w:tcPr>
            <w:tcW w:w="3070" w:type="dxa"/>
            <w:shd w:val="clear" w:color="auto" w:fill="BFBFBF" w:themeFill="background1" w:themeFillShade="BF"/>
          </w:tcPr>
          <w:p w:rsidR="00634D91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BFBFBF" w:themeFill="background1" w:themeFillShade="BF"/>
          </w:tcPr>
          <w:p w:rsidR="00634D91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Årssteg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634D91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Årstimar</w:t>
            </w:r>
            <w:proofErr w:type="spellEnd"/>
            <w:r>
              <w:rPr>
                <w:sz w:val="24"/>
                <w:szCs w:val="24"/>
              </w:rPr>
              <w:t xml:space="preserve"> a 60 minutt</w:t>
            </w:r>
          </w:p>
        </w:tc>
      </w:tr>
      <w:tr w:rsidR="00634D91" w:rsidRPr="00981A3B" w:rsidTr="00E31266">
        <w:tc>
          <w:tcPr>
            <w:tcW w:w="3070" w:type="dxa"/>
            <w:vMerge w:val="restart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Barnesteget</w:t>
            </w:r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– 4. </w:t>
            </w:r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560t</w:t>
            </w:r>
          </w:p>
        </w:tc>
      </w:tr>
      <w:tr w:rsidR="00634D91" w:rsidRPr="00981A3B" w:rsidTr="00E31266">
        <w:tc>
          <w:tcPr>
            <w:tcW w:w="3070" w:type="dxa"/>
            <w:vMerge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– 7. </w:t>
            </w:r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328t</w:t>
            </w:r>
          </w:p>
        </w:tc>
      </w:tr>
      <w:tr w:rsidR="00634D91" w:rsidRPr="00981A3B" w:rsidTr="00E31266">
        <w:tc>
          <w:tcPr>
            <w:tcW w:w="3070" w:type="dxa"/>
          </w:tcPr>
          <w:p w:rsidR="00634D91" w:rsidRPr="00981A3B" w:rsidRDefault="00634D91" w:rsidP="00634D91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981A3B">
              <w:rPr>
                <w:b w:val="0"/>
                <w:sz w:val="24"/>
                <w:szCs w:val="24"/>
              </w:rPr>
              <w:t>Ungdom</w:t>
            </w:r>
            <w:r>
              <w:rPr>
                <w:b w:val="0"/>
                <w:sz w:val="24"/>
                <w:szCs w:val="24"/>
              </w:rPr>
              <w:t>ssteget</w:t>
            </w:r>
            <w:proofErr w:type="spellEnd"/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– 10.</w:t>
            </w:r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313t</w:t>
            </w:r>
          </w:p>
        </w:tc>
      </w:tr>
      <w:tr w:rsidR="00634D91" w:rsidRPr="00981A3B" w:rsidTr="00E31266">
        <w:tc>
          <w:tcPr>
            <w:tcW w:w="3070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Studieførebuande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981A3B">
              <w:rPr>
                <w:b w:val="0"/>
                <w:sz w:val="24"/>
                <w:szCs w:val="24"/>
              </w:rPr>
              <w:t>utdanningsprogram</w:t>
            </w:r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981A3B">
              <w:rPr>
                <w:b w:val="0"/>
                <w:sz w:val="24"/>
                <w:szCs w:val="24"/>
              </w:rPr>
              <w:t>Vg1</w:t>
            </w:r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981A3B">
              <w:rPr>
                <w:b w:val="0"/>
                <w:sz w:val="24"/>
                <w:szCs w:val="24"/>
              </w:rPr>
              <w:t>140t</w:t>
            </w:r>
          </w:p>
        </w:tc>
      </w:tr>
      <w:tr w:rsidR="00634D91" w:rsidRPr="00981A3B" w:rsidTr="006D53CC">
        <w:trPr>
          <w:trHeight w:val="562"/>
        </w:trPr>
        <w:tc>
          <w:tcPr>
            <w:tcW w:w="3070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Yrkesfaglege</w:t>
            </w:r>
            <w:r w:rsidRPr="00981A3B">
              <w:rPr>
                <w:b w:val="0"/>
                <w:sz w:val="24"/>
                <w:szCs w:val="24"/>
              </w:rPr>
              <w:t xml:space="preserve"> utdanningsprogram</w:t>
            </w:r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981A3B">
              <w:rPr>
                <w:b w:val="0"/>
                <w:sz w:val="24"/>
                <w:szCs w:val="24"/>
              </w:rPr>
              <w:t>Vg1</w:t>
            </w:r>
          </w:p>
        </w:tc>
        <w:tc>
          <w:tcPr>
            <w:tcW w:w="3071" w:type="dxa"/>
          </w:tcPr>
          <w:p w:rsidR="00634D91" w:rsidRPr="00981A3B" w:rsidRDefault="00634D91" w:rsidP="00E31266">
            <w:pPr>
              <w:pStyle w:val="Overskrift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981A3B">
              <w:rPr>
                <w:b w:val="0"/>
                <w:sz w:val="24"/>
                <w:szCs w:val="24"/>
              </w:rPr>
              <w:t>84t</w:t>
            </w:r>
          </w:p>
        </w:tc>
      </w:tr>
    </w:tbl>
    <w:p w:rsidR="00634D91" w:rsidRDefault="00634D91" w:rsidP="00FD569D">
      <w:pPr>
        <w:spacing w:after="0"/>
        <w:rPr>
          <w:rFonts w:ascii="Times New Roman" w:hAnsi="Times New Roman" w:cs="Times New Roman"/>
          <w:sz w:val="24"/>
          <w:szCs w:val="44"/>
        </w:rPr>
      </w:pPr>
    </w:p>
    <w:p w:rsidR="00634D91" w:rsidRPr="00634D91" w:rsidRDefault="00634D91" w:rsidP="00FD569D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634D91">
        <w:rPr>
          <w:rFonts w:ascii="Times New Roman" w:hAnsi="Times New Roman" w:cs="Times New Roman"/>
          <w:b/>
          <w:sz w:val="44"/>
          <w:szCs w:val="44"/>
        </w:rPr>
        <w:lastRenderedPageBreak/>
        <w:t>Grunnleggjande</w:t>
      </w:r>
      <w:proofErr w:type="spellEnd"/>
      <w:r w:rsidRPr="00634D9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634D91">
        <w:rPr>
          <w:rFonts w:ascii="Times New Roman" w:hAnsi="Times New Roman" w:cs="Times New Roman"/>
          <w:b/>
          <w:sz w:val="44"/>
          <w:szCs w:val="44"/>
        </w:rPr>
        <w:t>ferdigheiter</w:t>
      </w:r>
      <w:proofErr w:type="spellEnd"/>
    </w:p>
    <w:p w:rsidR="00634D91" w:rsidRDefault="00634D91" w:rsidP="00FD569D">
      <w:pPr>
        <w:spacing w:after="0"/>
        <w:rPr>
          <w:rFonts w:ascii="Times New Roman" w:hAnsi="Times New Roman" w:cs="Times New Roman"/>
          <w:sz w:val="24"/>
          <w:szCs w:val="44"/>
        </w:rPr>
      </w:pPr>
    </w:p>
    <w:p w:rsid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Grunnleggjande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integrerte i kompetansemåla, der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dei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medverkar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utvikling av og er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 av fagkompetansen. I matematikk forstår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grunnleggjande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slik:</w:t>
      </w:r>
    </w:p>
    <w:p w:rsidR="00634D91" w:rsidRP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Munnlege </w:t>
      </w:r>
      <w:proofErr w:type="spellStart"/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ferdigheiter</w:t>
      </w:r>
      <w:proofErr w:type="spellEnd"/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matematikk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skape meining gjennom å lytte, tale og samtale om matematikk. Det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gjere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seg opp ei meining, stille spørsmål og argumentere ved hjelp av både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uformelt språk, presis fagterminologi og omgrepsbruk. Det vil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seie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vere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i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samtalar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kommunisere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idear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drøfte matematiske problem,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løysingar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strategiar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andre. Utvikling i munnlege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matematikk går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delta i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samtalar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matematikk til å presentere og drøfte komplekse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faglege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emne.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går utviklinga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bruke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enkelt matematisk språk til å bruke presis fagterminologi og uttrykksmåte og presise omgrep.</w:t>
      </w:r>
    </w:p>
    <w:p w:rsidR="00634D91" w:rsidRP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Å kunne skrive </w:t>
      </w:r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matematikk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beskrive og forklare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tankegang og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setje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ord på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oppdagingar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idear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Det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bruke matematiske symbol og det formelle matematiske språket til å løyse problem og presentere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løysingar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vil det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seie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lage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teikningar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skisser,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figurar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grafar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tabellar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diagram som er tilpassa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mottakaren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situasjonen. Skriving i matematikk er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reiskap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å utvikle eigne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tankar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eiga læring. Utvikling i å skrive i matematikk går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bruke enkle uttrykksformer til gradvis å ta i bruk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formelt symbolspråk og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presis fagterminologi.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går utviklinga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beskrive og systematisere enkle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situasjonar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matematikkfagleg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innhald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å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byggje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ein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heilskapleg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argumentasjon omkring komplekse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samanhengar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634D91" w:rsidRP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Å kunne lese </w:t>
      </w:r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matematikk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forstå og bruke symbolspråk og uttrykksformer for å skape meining i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daglegliv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yrkesliv så vel som matematikkfaglege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Matematikkfaget er prega av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samansette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inneheld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matematiske uttrykk,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grafar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diagram,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tabellar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symbol,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formlar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logiske resonnement. Lesing i matematikk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sortere informasjon, analysere og vurdere form og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innhald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samanfatte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informasjon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ulike element i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Utvikling i å lese i matematikk går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finne og bruke informasjon i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enkelt symbolspråk til å finne meining og reflektere over komplekse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fagtekstar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avansert symbolspråk og omgrepsbruk.</w:t>
      </w:r>
    </w:p>
    <w:p w:rsidR="00634D91" w:rsidRP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Å kunne </w:t>
      </w:r>
      <w:proofErr w:type="spellStart"/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rekne</w:t>
      </w:r>
      <w:proofErr w:type="spellEnd"/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matematikk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bruke symbolspråk, matematiske omgrep,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framgangsmåtar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varierte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strategiar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problemløysing og utforsking som tek utgangspunkt både i praktiske,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daglegdagse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situasjonar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i matematiske problem. Dette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kjenne att og beskrive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situasjonar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 matematikk inngår, og bruke matematiske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metodar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å behandle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problemstillingar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Eleven må òg kommunisere og vurdere kor gyldige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løysingane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er. Utvikling av å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rekne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matematikk går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grunnleggjande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talforståing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å kjenne att og løyse problem ut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enkle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situasjonar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å analysere og løyse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spekter av komplekse problem med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variert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utval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strategiar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metodar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dette i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aukande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grad å bruke ulike hjelpemiddel i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berekningar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, modellering og kommunikasjon.</w:t>
      </w:r>
    </w:p>
    <w:p w:rsidR="00634D91" w:rsidRP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4D91" w:rsidRPr="00634D91" w:rsidRDefault="00634D91" w:rsidP="006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lastRenderedPageBreak/>
        <w:t xml:space="preserve">Digitale </w:t>
      </w:r>
      <w:proofErr w:type="spellStart"/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ferdigheiter</w:t>
      </w:r>
      <w:proofErr w:type="spellEnd"/>
      <w:r w:rsidRPr="00634D9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</w:t>
      </w:r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matematikk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bruke digitale verktøy til læring gjennom spel, utforsking, visualisering og presentasjon. Det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handlar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òg om å kjenne til, bruke og vurdere digitale verktøy til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berekningar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problemløysing, simulering og modellering.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vil det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seie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finne informasjon, analysere, behandle og presentere data med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formålstenlege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verktøy, og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vere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kritisk til kjelder,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analysar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resultat. Utvikling i digitale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ferdigheiter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 arbeide med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samansette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digitale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aukande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grad av kompleksitet.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Vidare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inneber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å bli stadig </w:t>
      </w:r>
      <w:proofErr w:type="spellStart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>meir</w:t>
      </w:r>
      <w:proofErr w:type="spellEnd"/>
      <w:r w:rsidRPr="00634D9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merksam på den nytten digitale verktøy har for læring i matematikkfaget.</w:t>
      </w:r>
    </w:p>
    <w:p w:rsidR="00634D91" w:rsidRPr="00634D91" w:rsidRDefault="00634D91" w:rsidP="00634D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4D91" w:rsidRPr="00634D91" w:rsidSect="00FD569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91" w:rsidRDefault="00634D91" w:rsidP="00634D91">
      <w:pPr>
        <w:spacing w:after="0" w:line="240" w:lineRule="auto"/>
      </w:pPr>
      <w:r>
        <w:separator/>
      </w:r>
    </w:p>
  </w:endnote>
  <w:endnote w:type="continuationSeparator" w:id="0">
    <w:p w:rsidR="00634D91" w:rsidRDefault="00634D91" w:rsidP="0063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630078"/>
      <w:docPartObj>
        <w:docPartGallery w:val="Page Numbers (Bottom of Page)"/>
        <w:docPartUnique/>
      </w:docPartObj>
    </w:sdtPr>
    <w:sdtEndPr/>
    <w:sdtContent>
      <w:p w:rsidR="00634D91" w:rsidRDefault="00634D9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403">
          <w:rPr>
            <w:noProof/>
          </w:rPr>
          <w:t>6</w:t>
        </w:r>
        <w:r>
          <w:fldChar w:fldCharType="end"/>
        </w:r>
      </w:p>
    </w:sdtContent>
  </w:sdt>
  <w:p w:rsidR="00634D91" w:rsidRDefault="00634D9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91" w:rsidRDefault="00634D91" w:rsidP="00634D91">
      <w:pPr>
        <w:spacing w:after="0" w:line="240" w:lineRule="auto"/>
      </w:pPr>
      <w:r>
        <w:separator/>
      </w:r>
    </w:p>
  </w:footnote>
  <w:footnote w:type="continuationSeparator" w:id="0">
    <w:p w:rsidR="00634D91" w:rsidRDefault="00634D91" w:rsidP="00634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9D"/>
    <w:rsid w:val="00604403"/>
    <w:rsid w:val="006149FC"/>
    <w:rsid w:val="00634D91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34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D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69D"/>
    <w:rPr>
      <w:rFonts w:ascii="Tahoma" w:hAnsi="Tahoma" w:cs="Tahoma"/>
      <w:sz w:val="16"/>
      <w:szCs w:val="16"/>
    </w:rPr>
  </w:style>
  <w:style w:type="paragraph" w:customStyle="1" w:styleId="grep">
    <w:name w:val="grep"/>
    <w:basedOn w:val="Normal"/>
    <w:rsid w:val="00FD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D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34D9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3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4D91"/>
  </w:style>
  <w:style w:type="paragraph" w:styleId="Bunntekst">
    <w:name w:val="footer"/>
    <w:basedOn w:val="Normal"/>
    <w:link w:val="BunntekstTegn"/>
    <w:uiPriority w:val="99"/>
    <w:unhideWhenUsed/>
    <w:rsid w:val="0063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34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D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69D"/>
    <w:rPr>
      <w:rFonts w:ascii="Tahoma" w:hAnsi="Tahoma" w:cs="Tahoma"/>
      <w:sz w:val="16"/>
      <w:szCs w:val="16"/>
    </w:rPr>
  </w:style>
  <w:style w:type="paragraph" w:customStyle="1" w:styleId="grep">
    <w:name w:val="grep"/>
    <w:basedOn w:val="Normal"/>
    <w:rsid w:val="00FD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D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34D9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3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4D91"/>
  </w:style>
  <w:style w:type="paragraph" w:styleId="Bunntekst">
    <w:name w:val="footer"/>
    <w:basedOn w:val="Normal"/>
    <w:link w:val="BunntekstTegn"/>
    <w:uiPriority w:val="99"/>
    <w:unhideWhenUsed/>
    <w:rsid w:val="0063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CF0524ED.dotm</Template>
  <TotalTime>15</TotalTime>
  <Pages>6</Pages>
  <Words>1470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2</cp:revision>
  <dcterms:created xsi:type="dcterms:W3CDTF">2015-09-18T11:43:00Z</dcterms:created>
  <dcterms:modified xsi:type="dcterms:W3CDTF">2015-09-18T12:08:00Z</dcterms:modified>
</cp:coreProperties>
</file>